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BE1B" w14:textId="77777777" w:rsidR="00A16699" w:rsidRPr="00F17976" w:rsidRDefault="00A16699" w:rsidP="00F17976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b/>
          <w:color w:val="92D050"/>
          <w:sz w:val="36"/>
          <w:szCs w:val="36"/>
        </w:rPr>
      </w:pPr>
      <w:bookmarkStart w:id="0" w:name="_Hlk36232387"/>
      <w:r w:rsidRPr="00AD7D48">
        <w:rPr>
          <w:b/>
          <w:sz w:val="36"/>
          <w:szCs w:val="36"/>
        </w:rPr>
        <w:t xml:space="preserve">Académie de Clermont-Ferrand - Bac </w:t>
      </w:r>
      <w:r>
        <w:rPr>
          <w:b/>
          <w:sz w:val="36"/>
          <w:szCs w:val="36"/>
        </w:rPr>
        <w:t>2020</w:t>
      </w:r>
      <w:r w:rsidRPr="00AD7D48">
        <w:rPr>
          <w:b/>
          <w:sz w:val="36"/>
          <w:szCs w:val="36"/>
        </w:rPr>
        <w:t xml:space="preserve"> </w:t>
      </w:r>
      <w:r w:rsidR="00F17976">
        <w:rPr>
          <w:b/>
          <w:sz w:val="36"/>
          <w:szCs w:val="36"/>
        </w:rPr>
        <w:t>-</w:t>
      </w:r>
      <w:r w:rsidRPr="00AD7D48">
        <w:rPr>
          <w:b/>
          <w:sz w:val="36"/>
          <w:szCs w:val="36"/>
        </w:rPr>
        <w:t xml:space="preserve"> </w:t>
      </w:r>
      <w:r w:rsidRPr="00F17976">
        <w:rPr>
          <w:b/>
          <w:color w:val="92D050"/>
          <w:sz w:val="36"/>
          <w:szCs w:val="36"/>
        </w:rPr>
        <w:t xml:space="preserve">E3C Spécialité S.E.S. </w:t>
      </w:r>
    </w:p>
    <w:p w14:paraId="0C5CEF06" w14:textId="77777777" w:rsidR="00A16699" w:rsidRDefault="00A16699" w:rsidP="00A16699">
      <w:pPr>
        <w:pStyle w:val="Sansinterligne"/>
        <w:rPr>
          <w:sz w:val="16"/>
          <w:szCs w:val="18"/>
        </w:rPr>
      </w:pPr>
    </w:p>
    <w:p w14:paraId="644A6B28" w14:textId="77777777" w:rsidR="00A16699" w:rsidRPr="00D37B7E" w:rsidRDefault="00A16699" w:rsidP="00A16699">
      <w:pPr>
        <w:numPr>
          <w:ilvl w:val="0"/>
          <w:numId w:val="1"/>
        </w:numPr>
        <w:spacing w:after="0"/>
        <w:ind w:left="284" w:hanging="284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Les valorisations ne sont pas des attentes</w:t>
      </w:r>
      <w:r>
        <w:rPr>
          <w:color w:val="000000"/>
          <w:sz w:val="18"/>
          <w:szCs w:val="18"/>
        </w:rPr>
        <w:t xml:space="preserve"> mais uniquement des « points en plus » ; leur absence n’empêche pas d’obtenir 20/20 à partir du moment où toutes les attentes sont respectées.</w:t>
      </w:r>
    </w:p>
    <w:p w14:paraId="15FDBD4B" w14:textId="77777777" w:rsidR="00A16699" w:rsidRDefault="00A16699" w:rsidP="00A16699">
      <w:pPr>
        <w:pStyle w:val="Sansinterligne"/>
        <w:rPr>
          <w:b/>
          <w:sz w:val="18"/>
          <w:szCs w:val="18"/>
        </w:rPr>
      </w:pPr>
    </w:p>
    <w:tbl>
      <w:tblPr>
        <w:tblW w:w="11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7"/>
        <w:gridCol w:w="7800"/>
        <w:gridCol w:w="425"/>
        <w:gridCol w:w="425"/>
        <w:gridCol w:w="426"/>
        <w:gridCol w:w="411"/>
        <w:gridCol w:w="897"/>
      </w:tblGrid>
      <w:tr w:rsidR="00A16699" w14:paraId="3840B268" w14:textId="77777777" w:rsidTr="00F17976">
        <w:trPr>
          <w:cantSplit/>
          <w:trHeight w:val="493"/>
        </w:trPr>
        <w:tc>
          <w:tcPr>
            <w:tcW w:w="8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42539EF8" w14:textId="77777777" w:rsidR="00A16699" w:rsidRPr="00CD5AD9" w:rsidRDefault="00A16699" w:rsidP="006017DA">
            <w:pPr>
              <w:pStyle w:val="Sansinterligne"/>
              <w:ind w:left="-142"/>
              <w:jc w:val="center"/>
              <w:rPr>
                <w:b/>
                <w:color w:val="FFFFFF"/>
                <w:sz w:val="8"/>
                <w:szCs w:val="8"/>
              </w:rPr>
            </w:pPr>
            <w:r>
              <w:rPr>
                <w:b/>
                <w:color w:val="FFFFFF"/>
                <w:sz w:val="24"/>
                <w:szCs w:val="18"/>
              </w:rPr>
              <w:t>Attentes de la 1</w:t>
            </w:r>
            <w:r>
              <w:rPr>
                <w:b/>
                <w:color w:val="FFFFFF"/>
                <w:sz w:val="24"/>
                <w:szCs w:val="18"/>
                <w:vertAlign w:val="superscript"/>
              </w:rPr>
              <w:t>ère</w:t>
            </w:r>
            <w:r>
              <w:rPr>
                <w:b/>
                <w:color w:val="FFFFFF"/>
                <w:sz w:val="24"/>
                <w:szCs w:val="18"/>
              </w:rPr>
              <w:t xml:space="preserve"> partie : Mobilisation des connaissances et traitement de l’information (10 points)</w:t>
            </w:r>
            <w:r>
              <w:rPr>
                <w:i/>
                <w:color w:val="FFFFFF"/>
                <w:sz w:val="18"/>
                <w:szCs w:val="24"/>
              </w:rPr>
              <w:t xml:space="preserve"> 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0656D4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C87A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Barème indicatif</w:t>
            </w:r>
          </w:p>
        </w:tc>
      </w:tr>
      <w:tr w:rsidR="00A16699" w14:paraId="28BA4926" w14:textId="77777777" w:rsidTr="00F17976">
        <w:trPr>
          <w:cantSplit/>
          <w:trHeight w:val="154"/>
        </w:trPr>
        <w:tc>
          <w:tcPr>
            <w:tcW w:w="8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5092191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596CB9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ACE621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052934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0A5F9F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254A" w14:textId="77777777" w:rsidR="00A16699" w:rsidRDefault="00A16699" w:rsidP="006017DA">
            <w:pPr>
              <w:pStyle w:val="Sansinterligne"/>
              <w:snapToGrid w:val="0"/>
            </w:pPr>
          </w:p>
        </w:tc>
      </w:tr>
      <w:tr w:rsidR="00A16699" w14:paraId="06E5F0DB" w14:textId="77777777" w:rsidTr="006F1262">
        <w:trPr>
          <w:cantSplit/>
          <w:trHeight w:val="118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94F24D" w14:textId="77777777" w:rsidR="00A16699" w:rsidRPr="0048537B" w:rsidRDefault="00A16699" w:rsidP="006F1262">
            <w:pPr>
              <w:ind w:left="-8" w:right="-108"/>
              <w:jc w:val="center"/>
              <w:rPr>
                <w:b/>
              </w:rPr>
            </w:pPr>
            <w:r w:rsidRPr="00834501">
              <w:rPr>
                <w:b/>
                <w:sz w:val="20"/>
                <w:szCs w:val="20"/>
              </w:rPr>
              <w:t>Question de mobilisation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202FFE" w14:textId="77777777" w:rsidR="00A16699" w:rsidRDefault="00A16699" w:rsidP="006017DA">
            <w:pPr>
              <w:pStyle w:val="Sansinterligne"/>
              <w:ind w:left="3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L’élève a fourni une réponse claire, cohérente et qui répond à la consigne de la question.</w:t>
            </w:r>
          </w:p>
          <w:p w14:paraId="3BDDE9B5" w14:textId="77777777" w:rsidR="00A16699" w:rsidRPr="0048537B" w:rsidRDefault="00A16699" w:rsidP="006017DA">
            <w:pPr>
              <w:pStyle w:val="Sansinterligne"/>
              <w:ind w:left="113" w:hanging="183"/>
              <w:rPr>
                <w:b/>
                <w:i/>
                <w:sz w:val="16"/>
                <w:szCs w:val="16"/>
              </w:rPr>
            </w:pPr>
          </w:p>
          <w:p w14:paraId="4B5B94B4" w14:textId="77777777" w:rsidR="00A16699" w:rsidRPr="00D66EC8" w:rsidRDefault="00A16699" w:rsidP="006017DA">
            <w:pPr>
              <w:pStyle w:val="Sansinterligne"/>
              <w:ind w:left="34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L’élève a mobilisé les connaissances du programme adaptées à la question.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648FF7" w14:textId="77777777" w:rsidR="00A16699" w:rsidRDefault="00A16699" w:rsidP="006017DA">
            <w:pPr>
              <w:pStyle w:val="Sansinterligne"/>
              <w:snapToGrid w:val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F3B0A7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CCB9CF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00E415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E812" w14:textId="77777777" w:rsidR="00A16699" w:rsidRPr="00D37B7E" w:rsidRDefault="00A16699" w:rsidP="006017DA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ab/>
              <w:t xml:space="preserve">     </w:t>
            </w:r>
            <w:r w:rsidRPr="00D37B7E">
              <w:rPr>
                <w:b/>
                <w:i/>
                <w:sz w:val="18"/>
                <w:szCs w:val="18"/>
              </w:rPr>
              <w:t>/ ?</w:t>
            </w:r>
          </w:p>
        </w:tc>
      </w:tr>
      <w:tr w:rsidR="00A16699" w14:paraId="43622899" w14:textId="77777777" w:rsidTr="006F1262">
        <w:trPr>
          <w:cantSplit/>
          <w:trHeight w:val="1157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55ADD7" w14:textId="77777777" w:rsidR="00A16699" w:rsidRPr="00834501" w:rsidRDefault="00A16699" w:rsidP="006F1262">
            <w:pPr>
              <w:ind w:left="-8" w:right="-108"/>
              <w:jc w:val="center"/>
              <w:rPr>
                <w:b/>
                <w:sz w:val="20"/>
                <w:szCs w:val="20"/>
              </w:rPr>
            </w:pPr>
            <w:r w:rsidRPr="00834501">
              <w:rPr>
                <w:b/>
                <w:sz w:val="20"/>
                <w:szCs w:val="20"/>
              </w:rPr>
              <w:t>Question de savoir-faire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FAF85B" w14:textId="77777777" w:rsidR="00A16699" w:rsidRPr="00322F77" w:rsidRDefault="00A16699" w:rsidP="006017DA">
            <w:pPr>
              <w:rPr>
                <w:b/>
                <w:i/>
                <w:sz w:val="18"/>
                <w:szCs w:val="18"/>
              </w:rPr>
            </w:pPr>
            <w:r w:rsidRPr="00D37B7E">
              <w:rPr>
                <w:b/>
                <w:i/>
                <w:sz w:val="18"/>
                <w:szCs w:val="18"/>
              </w:rPr>
              <w:t xml:space="preserve">L’élève a mobilisé les </w:t>
            </w:r>
            <w:r>
              <w:rPr>
                <w:b/>
                <w:i/>
                <w:sz w:val="18"/>
                <w:szCs w:val="18"/>
              </w:rPr>
              <w:t>savoir-faire adaptés pour répondre à la question.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16A06F" w14:textId="77777777" w:rsidR="00A16699" w:rsidRPr="00D37B7E" w:rsidRDefault="00A16699" w:rsidP="006017DA">
            <w:pPr>
              <w:pStyle w:val="Sansinterligne"/>
              <w:ind w:left="113" w:hanging="183"/>
              <w:rPr>
                <w:b/>
                <w:i/>
                <w:sz w:val="18"/>
                <w:szCs w:val="18"/>
              </w:rPr>
            </w:pPr>
            <w:r w:rsidRPr="00D37B7E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15B962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75D692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55D15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0B164" w14:textId="77777777" w:rsidR="00A16699" w:rsidRPr="00D37B7E" w:rsidRDefault="00A16699" w:rsidP="006017DA">
            <w:pPr>
              <w:pStyle w:val="Sansinterligne"/>
              <w:snapToGrid w:val="0"/>
              <w:rPr>
                <w:b/>
                <w:i/>
                <w:sz w:val="18"/>
                <w:szCs w:val="18"/>
              </w:rPr>
            </w:pPr>
            <w:r>
              <w:tab/>
              <w:t xml:space="preserve">         </w:t>
            </w:r>
            <w:r w:rsidRPr="00D37B7E">
              <w:rPr>
                <w:b/>
                <w:i/>
                <w:sz w:val="18"/>
                <w:szCs w:val="18"/>
              </w:rPr>
              <w:t>/</w:t>
            </w:r>
            <w:r>
              <w:rPr>
                <w:b/>
                <w:i/>
                <w:sz w:val="18"/>
                <w:szCs w:val="18"/>
              </w:rPr>
              <w:t> ?</w:t>
            </w:r>
          </w:p>
        </w:tc>
      </w:tr>
      <w:tr w:rsidR="00A16699" w14:paraId="21B5B5B3" w14:textId="77777777" w:rsidTr="006F1262">
        <w:trPr>
          <w:cantSplit/>
          <w:trHeight w:val="1714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BC60E2" w14:textId="68F24B44" w:rsidR="00A16699" w:rsidRPr="00834501" w:rsidRDefault="00A16699" w:rsidP="006F1262">
            <w:pPr>
              <w:ind w:left="-8" w:right="-108"/>
              <w:jc w:val="center"/>
              <w:rPr>
                <w:b/>
                <w:sz w:val="20"/>
                <w:szCs w:val="20"/>
              </w:rPr>
            </w:pPr>
            <w:r w:rsidRPr="00834501">
              <w:rPr>
                <w:b/>
                <w:sz w:val="20"/>
                <w:szCs w:val="20"/>
              </w:rPr>
              <w:t>Question d</w:t>
            </w:r>
            <w:r w:rsidR="006F1262">
              <w:rPr>
                <w:b/>
                <w:sz w:val="20"/>
                <w:szCs w:val="20"/>
              </w:rPr>
              <w:t>’</w:t>
            </w:r>
            <w:r w:rsidRPr="00834501">
              <w:rPr>
                <w:b/>
                <w:sz w:val="20"/>
                <w:szCs w:val="20"/>
              </w:rPr>
              <w:t>interprétation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DD75C7" w14:textId="77777777" w:rsidR="00A16699" w:rsidRDefault="00A16699" w:rsidP="006017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L’élève a mobilisé les connaissances du programme adaptées à la question.</w:t>
            </w:r>
          </w:p>
          <w:p w14:paraId="4AFC0532" w14:textId="43B6EC88" w:rsidR="00A16699" w:rsidRPr="00D37B7E" w:rsidRDefault="00A16699" w:rsidP="006017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L’élève a sélectionné / lu / transformé et interprété les données adéquates pour traiter la question.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6027F5" w14:textId="77777777" w:rsidR="00A16699" w:rsidRPr="00D37B7E" w:rsidRDefault="00A16699" w:rsidP="006017DA">
            <w:pPr>
              <w:pStyle w:val="Sansinterligne"/>
              <w:ind w:left="113" w:hanging="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E9AA50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377D67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D2B70D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5760" w14:textId="77777777" w:rsidR="00A16699" w:rsidRDefault="00A16699" w:rsidP="006017DA">
            <w:pPr>
              <w:pStyle w:val="Sansinterligne"/>
              <w:snapToGrid w:val="0"/>
            </w:pPr>
            <w:r>
              <w:rPr>
                <w:b/>
                <w:i/>
                <w:sz w:val="18"/>
                <w:szCs w:val="18"/>
              </w:rPr>
              <w:t xml:space="preserve">           </w:t>
            </w:r>
            <w:r w:rsidRPr="00D37B7E">
              <w:rPr>
                <w:b/>
                <w:i/>
                <w:sz w:val="18"/>
                <w:szCs w:val="18"/>
              </w:rPr>
              <w:t>/</w:t>
            </w:r>
            <w:r>
              <w:rPr>
                <w:b/>
                <w:i/>
                <w:sz w:val="18"/>
                <w:szCs w:val="18"/>
              </w:rPr>
              <w:t> ?</w:t>
            </w:r>
          </w:p>
        </w:tc>
      </w:tr>
    </w:tbl>
    <w:p w14:paraId="2C47B466" w14:textId="415CF6E2" w:rsidR="006F1262" w:rsidRPr="006F1262" w:rsidRDefault="006F1262" w:rsidP="006F1262">
      <w:pPr>
        <w:tabs>
          <w:tab w:val="left" w:pos="3720"/>
        </w:tabs>
      </w:pPr>
    </w:p>
    <w:tbl>
      <w:tblPr>
        <w:tblpPr w:leftFromText="141" w:rightFromText="141" w:vertAnchor="text" w:horzAnchor="margin" w:tblpY="-40"/>
        <w:tblW w:w="1100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6367"/>
        <w:gridCol w:w="432"/>
        <w:gridCol w:w="434"/>
        <w:gridCol w:w="432"/>
        <w:gridCol w:w="435"/>
        <w:gridCol w:w="953"/>
      </w:tblGrid>
      <w:tr w:rsidR="00A16699" w14:paraId="67582B95" w14:textId="77777777" w:rsidTr="00F17976">
        <w:trPr>
          <w:cantSplit/>
          <w:trHeight w:val="517"/>
        </w:trPr>
        <w:tc>
          <w:tcPr>
            <w:tcW w:w="8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5C02E1F" w14:textId="3FFB95C1" w:rsidR="00A16699" w:rsidRDefault="00A16699" w:rsidP="006017DA">
            <w:pPr>
              <w:pStyle w:val="Sansinterligne"/>
              <w:jc w:val="center"/>
              <w:rPr>
                <w:b/>
                <w:color w:val="FFFFFF"/>
                <w:sz w:val="24"/>
                <w:szCs w:val="18"/>
              </w:rPr>
            </w:pPr>
            <w:r>
              <w:rPr>
                <w:b/>
                <w:color w:val="FFFFFF"/>
                <w:sz w:val="24"/>
                <w:szCs w:val="18"/>
              </w:rPr>
              <w:t>Attentes de la 2</w:t>
            </w:r>
            <w:r>
              <w:rPr>
                <w:b/>
                <w:color w:val="FFFFFF"/>
                <w:sz w:val="24"/>
                <w:szCs w:val="18"/>
                <w:vertAlign w:val="superscript"/>
              </w:rPr>
              <w:t>ème</w:t>
            </w:r>
            <w:r>
              <w:rPr>
                <w:b/>
                <w:color w:val="FFFFFF"/>
                <w:sz w:val="24"/>
                <w:szCs w:val="18"/>
              </w:rPr>
              <w:t xml:space="preserve"> partie : Raisonnement appuyé sur un dossier documentaire (10 points) </w:t>
            </w:r>
          </w:p>
          <w:p w14:paraId="08B61A95" w14:textId="202A0A0D" w:rsidR="00A16699" w:rsidRPr="00F65E73" w:rsidRDefault="00A16699" w:rsidP="006017DA">
            <w:pPr>
              <w:pStyle w:val="Sansinterligne"/>
              <w:jc w:val="center"/>
              <w:rPr>
                <w:b/>
                <w:color w:val="FFFFFF"/>
                <w:sz w:val="8"/>
                <w:szCs w:val="8"/>
              </w:rPr>
            </w:pPr>
            <w:r>
              <w:rPr>
                <w:b/>
                <w:color w:val="FFFFFF"/>
                <w:sz w:val="24"/>
                <w:szCs w:val="18"/>
              </w:rPr>
              <w:t>(</w:t>
            </w:r>
            <w:r w:rsidR="00C1484E">
              <w:rPr>
                <w:b/>
                <w:color w:val="FFFFFF"/>
                <w:sz w:val="24"/>
                <w:szCs w:val="18"/>
              </w:rPr>
              <w:t>L</w:t>
            </w:r>
            <w:r>
              <w:rPr>
                <w:b/>
                <w:color w:val="FFFFFF"/>
                <w:sz w:val="24"/>
                <w:szCs w:val="18"/>
              </w:rPr>
              <w:t>ongueur de l’ordre d’une page</w:t>
            </w:r>
            <w:r w:rsidR="00C1484E">
              <w:rPr>
                <w:b/>
                <w:color w:val="FFFFFF"/>
                <w:sz w:val="24"/>
                <w:szCs w:val="18"/>
              </w:rPr>
              <w:t> ;</w:t>
            </w:r>
            <w:r>
              <w:rPr>
                <w:b/>
                <w:color w:val="FFFFFF"/>
                <w:sz w:val="24"/>
                <w:szCs w:val="18"/>
              </w:rPr>
              <w:t xml:space="preserve"> ne pas pénaliser un raisonnement plus conséquent dans la mesure où il reste cohérent) 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267166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93F24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Barème indicatif</w:t>
            </w:r>
          </w:p>
        </w:tc>
      </w:tr>
      <w:tr w:rsidR="00A16699" w14:paraId="30799A46" w14:textId="77777777" w:rsidTr="00F17976">
        <w:trPr>
          <w:cantSplit/>
          <w:trHeight w:val="305"/>
        </w:trPr>
        <w:tc>
          <w:tcPr>
            <w:tcW w:w="8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3C8CD55C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E20949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8AE759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DA1329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1DBD7E" w14:textId="77777777" w:rsidR="00A16699" w:rsidRDefault="00A16699" w:rsidP="006017DA">
            <w:pPr>
              <w:pStyle w:val="Sansinterligne"/>
              <w:snapToGrid w:val="0"/>
              <w:jc w:val="center"/>
            </w:pPr>
            <w:r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FB946B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</w:tr>
      <w:tr w:rsidR="00A16699" w14:paraId="423F2A72" w14:textId="77777777" w:rsidTr="006017DA">
        <w:trPr>
          <w:cantSplit/>
          <w:trHeight w:val="9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3B42" w14:textId="77777777" w:rsidR="00A16699" w:rsidRDefault="00A16699" w:rsidP="006017D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Compréhension du sujet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E25ED" w14:textId="77777777" w:rsidR="00A16699" w:rsidRPr="00427FAF" w:rsidRDefault="00A16699" w:rsidP="006017DA">
            <w:pPr>
              <w:pStyle w:val="Sansinterligne"/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L’élève doit organiser son raisonnement en cohérence avec la formulation du sujet.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AB7F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FC08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9108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9662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E31A" w14:textId="77777777" w:rsidR="00A16699" w:rsidRDefault="00A16699" w:rsidP="006017DA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2</w:t>
            </w:r>
          </w:p>
        </w:tc>
      </w:tr>
      <w:tr w:rsidR="00A16699" w14:paraId="6AB28504" w14:textId="77777777" w:rsidTr="006017DA">
        <w:trPr>
          <w:cantSplit/>
          <w:trHeight w:val="65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C34A1" w14:textId="77777777" w:rsidR="00A16699" w:rsidRDefault="00A16699" w:rsidP="006017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Arguments mobilisés pour répondre à la question posée par le sujet à partir : </w:t>
            </w:r>
          </w:p>
          <w:p w14:paraId="628BB677" w14:textId="77777777" w:rsidR="00A16699" w:rsidRPr="001255B9" w:rsidRDefault="00A16699" w:rsidP="006017DA">
            <w:pPr>
              <w:pStyle w:val="Paragraphedeliste"/>
              <w:spacing w:after="0" w:line="240" w:lineRule="auto"/>
              <w:ind w:left="20"/>
              <w:rPr>
                <w:b/>
                <w:sz w:val="8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des connaissances du programme,  </w:t>
            </w:r>
          </w:p>
          <w:p w14:paraId="24E3D2FE" w14:textId="77777777" w:rsidR="00A16699" w:rsidRPr="001255B9" w:rsidRDefault="00A16699" w:rsidP="006017DA">
            <w:pPr>
              <w:spacing w:after="0" w:line="240" w:lineRule="auto"/>
              <w:ind w:left="20"/>
              <w:rPr>
                <w:b/>
                <w:sz w:val="8"/>
                <w:szCs w:val="20"/>
              </w:rPr>
            </w:pPr>
            <w:r w:rsidRPr="001255B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55B9">
              <w:rPr>
                <w:b/>
                <w:sz w:val="20"/>
                <w:szCs w:val="20"/>
              </w:rPr>
              <w:t>du dossier documentaire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2212FE" w14:textId="77777777" w:rsidR="00A16699" w:rsidRDefault="00A16699" w:rsidP="006017DA">
            <w:pPr>
              <w:pStyle w:val="Sansinterligne"/>
              <w:snapToGrid w:val="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CONNAISSANCES DU PROGRAMME : </w:t>
            </w:r>
          </w:p>
          <w:p w14:paraId="5D3F875E" w14:textId="77777777" w:rsidR="00A16699" w:rsidRPr="00D6517C" w:rsidRDefault="00A16699" w:rsidP="006017DA">
            <w:pPr>
              <w:pStyle w:val="Sansinterligne"/>
              <w:snapToGrid w:val="0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14:paraId="69390CF8" w14:textId="77777777" w:rsidR="00A16699" w:rsidRDefault="00A16699" w:rsidP="006017DA">
            <w:pPr>
              <w:pStyle w:val="Sansinterligne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B36E8B" w14:textId="77777777" w:rsidR="00A16699" w:rsidRDefault="00A16699" w:rsidP="006017DA">
            <w:pPr>
              <w:pStyle w:val="Sansinterligne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A4AC48" w14:textId="77777777" w:rsidR="00A16699" w:rsidRPr="00F65E73" w:rsidRDefault="00A16699" w:rsidP="006017DA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71FB35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BEEACF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42D6C6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364006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F4B4" w14:textId="77777777" w:rsidR="00A16699" w:rsidRDefault="00A16699" w:rsidP="006017DA">
            <w:pPr>
              <w:pStyle w:val="Sansinterligne"/>
              <w:snapToGrid w:val="0"/>
              <w:jc w:val="right"/>
            </w:pPr>
            <w:r>
              <w:rPr>
                <w:b/>
                <w:sz w:val="20"/>
                <w:szCs w:val="18"/>
              </w:rPr>
              <w:t>/ 6</w:t>
            </w:r>
          </w:p>
        </w:tc>
      </w:tr>
      <w:tr w:rsidR="00A16699" w14:paraId="02848CCC" w14:textId="77777777" w:rsidTr="006017DA">
        <w:trPr>
          <w:cantSplit/>
          <w:trHeight w:val="14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DA5CC62" w14:textId="77777777" w:rsidR="00A16699" w:rsidRDefault="00A16699" w:rsidP="006017DA">
            <w:pPr>
              <w:pStyle w:val="Sansinterligne"/>
              <w:snapToGrid w:val="0"/>
              <w:ind w:left="113" w:right="113"/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9EB4F4" w14:textId="77777777" w:rsidR="00A16699" w:rsidRDefault="00A16699" w:rsidP="006017DA">
            <w:pPr>
              <w:pStyle w:val="Sansinterligne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DOSSIER DOCUMENTAIRE :</w:t>
            </w:r>
          </w:p>
          <w:p w14:paraId="2F90B6F4" w14:textId="77777777" w:rsidR="00A16699" w:rsidRPr="006724AF" w:rsidRDefault="00A16699" w:rsidP="006017DA">
            <w:pPr>
              <w:pStyle w:val="Sansinterligne"/>
              <w:ind w:left="17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Doc. 1</w:t>
            </w:r>
            <w:r>
              <w:rPr>
                <w:sz w:val="18"/>
                <w:szCs w:val="18"/>
              </w:rPr>
              <w:t> :</w:t>
            </w:r>
          </w:p>
          <w:p w14:paraId="5DC77EF6" w14:textId="77777777" w:rsidR="00A16699" w:rsidRDefault="00A16699" w:rsidP="006017DA">
            <w:pPr>
              <w:pStyle w:val="Sansinterligne"/>
              <w:jc w:val="both"/>
              <w:rPr>
                <w:b/>
                <w:sz w:val="18"/>
                <w:szCs w:val="18"/>
              </w:rPr>
            </w:pPr>
          </w:p>
          <w:p w14:paraId="495E98C8" w14:textId="77777777" w:rsidR="00A16699" w:rsidRPr="006724AF" w:rsidRDefault="00A16699" w:rsidP="006017DA">
            <w:pPr>
              <w:pStyle w:val="Sansinterligne"/>
              <w:ind w:left="17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Doc. 2</w:t>
            </w:r>
            <w:r>
              <w:rPr>
                <w:sz w:val="18"/>
                <w:szCs w:val="18"/>
              </w:rPr>
              <w:t xml:space="preserve"> : </w:t>
            </w:r>
          </w:p>
          <w:p w14:paraId="4D17FC55" w14:textId="77777777" w:rsidR="00A16699" w:rsidRDefault="00A16699" w:rsidP="006017DA">
            <w:pPr>
              <w:pStyle w:val="Sansinterligne"/>
              <w:jc w:val="both"/>
              <w:rPr>
                <w:b/>
                <w:sz w:val="18"/>
                <w:szCs w:val="18"/>
              </w:rPr>
            </w:pPr>
          </w:p>
          <w:p w14:paraId="2C383441" w14:textId="77777777" w:rsidR="00A16699" w:rsidRDefault="00A16699" w:rsidP="006017DA">
            <w:pPr>
              <w:pStyle w:val="Sansinterligne"/>
              <w:ind w:left="178"/>
              <w:jc w:val="both"/>
            </w:pP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396042" w14:textId="77777777" w:rsidR="00A16699" w:rsidRDefault="00A16699" w:rsidP="006017DA">
            <w:pPr>
              <w:pStyle w:val="Sansinterligne"/>
              <w:snapToGrid w:val="0"/>
            </w:pPr>
          </w:p>
        </w:tc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E71C2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CEF8A5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5A244" w14:textId="77777777" w:rsidR="00A16699" w:rsidRDefault="00A16699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D9C2" w14:textId="77777777" w:rsidR="00A16699" w:rsidRDefault="00A16699" w:rsidP="006017DA">
            <w:pPr>
              <w:pStyle w:val="Sansinterligne"/>
              <w:snapToGrid w:val="0"/>
              <w:jc w:val="right"/>
            </w:pPr>
          </w:p>
        </w:tc>
      </w:tr>
      <w:tr w:rsidR="003871E6" w14:paraId="746552AA" w14:textId="77777777" w:rsidTr="003871E6">
        <w:trPr>
          <w:cantSplit/>
          <w:trHeight w:val="6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0CC2" w14:textId="77777777" w:rsidR="003871E6" w:rsidRDefault="003871E6" w:rsidP="006F1262">
            <w:pPr>
              <w:pStyle w:val="Sansinterligne"/>
              <w:snapToGrid w:val="0"/>
            </w:pPr>
            <w:r>
              <w:rPr>
                <w:b/>
                <w:sz w:val="20"/>
                <w:szCs w:val="20"/>
              </w:rPr>
              <w:t>Éléments de forme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2D1F" w14:textId="77777777" w:rsidR="003871E6" w:rsidRPr="003871E6" w:rsidRDefault="003871E6" w:rsidP="003871E6">
            <w:pPr>
              <w:pStyle w:val="Sansinterligne"/>
              <w:ind w:left="113" w:hanging="178"/>
              <w:jc w:val="both"/>
              <w:rPr>
                <w:b/>
                <w:i/>
                <w:caps/>
                <w:sz w:val="18"/>
                <w:szCs w:val="18"/>
              </w:rPr>
            </w:pPr>
            <w:r w:rsidRPr="003871E6">
              <w:rPr>
                <w:b/>
                <w:i/>
                <w:caps/>
                <w:sz w:val="18"/>
                <w:szCs w:val="18"/>
              </w:rPr>
              <w:t>CLARTÉ De l’expression</w:t>
            </w:r>
          </w:p>
          <w:p w14:paraId="3397C30C" w14:textId="77777777" w:rsidR="003871E6" w:rsidRDefault="003871E6" w:rsidP="003871E6">
            <w:pPr>
              <w:pStyle w:val="Sansinterligne"/>
              <w:ind w:left="113"/>
              <w:jc w:val="both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7375" w14:textId="77777777" w:rsidR="003871E6" w:rsidRDefault="003871E6" w:rsidP="003871E6">
            <w:pPr>
              <w:pStyle w:val="Sansinterligne"/>
              <w:snapToGrid w:val="0"/>
              <w:ind w:left="11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3003" w14:textId="77777777" w:rsidR="003871E6" w:rsidRDefault="003871E6" w:rsidP="003871E6">
            <w:pPr>
              <w:pStyle w:val="Sansinterligne"/>
              <w:snapToGrid w:val="0"/>
              <w:ind w:left="113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BB22" w14:textId="77777777" w:rsidR="003871E6" w:rsidRDefault="003871E6" w:rsidP="003871E6">
            <w:pPr>
              <w:pStyle w:val="Sansinterligne"/>
              <w:snapToGrid w:val="0"/>
              <w:ind w:left="113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1CB3D" w14:textId="77777777" w:rsidR="003871E6" w:rsidRDefault="003871E6" w:rsidP="003871E6">
            <w:pPr>
              <w:pStyle w:val="Sansinterligne"/>
              <w:snapToGrid w:val="0"/>
              <w:ind w:left="113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AC5E" w14:textId="77777777" w:rsidR="003871E6" w:rsidRDefault="003871E6" w:rsidP="003871E6">
            <w:pPr>
              <w:pStyle w:val="Sansinterligne"/>
              <w:snapToGrid w:val="0"/>
              <w:ind w:left="113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/ 2</w:t>
            </w:r>
          </w:p>
          <w:p w14:paraId="78F75761" w14:textId="77777777" w:rsidR="003871E6" w:rsidRDefault="003871E6" w:rsidP="003871E6">
            <w:pPr>
              <w:pStyle w:val="Sansinterligne"/>
              <w:snapToGrid w:val="0"/>
              <w:ind w:left="113"/>
              <w:jc w:val="right"/>
              <w:rPr>
                <w:b/>
                <w:sz w:val="20"/>
                <w:szCs w:val="18"/>
              </w:rPr>
            </w:pPr>
          </w:p>
          <w:p w14:paraId="43E01E26" w14:textId="77777777" w:rsidR="003871E6" w:rsidRDefault="003871E6" w:rsidP="003871E6">
            <w:pPr>
              <w:pStyle w:val="Sansinterligne"/>
              <w:snapToGrid w:val="0"/>
              <w:ind w:left="113"/>
              <w:jc w:val="right"/>
              <w:rPr>
                <w:b/>
                <w:sz w:val="20"/>
                <w:szCs w:val="18"/>
              </w:rPr>
            </w:pPr>
          </w:p>
          <w:p w14:paraId="07F15FAA" w14:textId="77777777" w:rsidR="003871E6" w:rsidRDefault="003871E6" w:rsidP="003871E6">
            <w:pPr>
              <w:pStyle w:val="Sansinterligne"/>
              <w:snapToGrid w:val="0"/>
              <w:ind w:left="113"/>
              <w:jc w:val="right"/>
            </w:pPr>
          </w:p>
          <w:p w14:paraId="51EFB7A7" w14:textId="77777777" w:rsidR="003871E6" w:rsidRDefault="003871E6" w:rsidP="003871E6">
            <w:pPr>
              <w:pStyle w:val="Sansinterligne"/>
              <w:snapToGrid w:val="0"/>
              <w:ind w:left="113"/>
              <w:jc w:val="right"/>
            </w:pPr>
          </w:p>
        </w:tc>
      </w:tr>
      <w:tr w:rsidR="003871E6" w14:paraId="4CA6DF5B" w14:textId="77777777" w:rsidTr="006F1262">
        <w:trPr>
          <w:cantSplit/>
          <w:trHeight w:val="6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2B28" w14:textId="77777777" w:rsidR="003871E6" w:rsidRDefault="003871E6" w:rsidP="003871E6">
            <w:pPr>
              <w:pStyle w:val="Sansinterligne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Eléments de valorisation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90D9" w14:textId="77777777" w:rsidR="003871E6" w:rsidRDefault="003871E6" w:rsidP="003871E6">
            <w:pPr>
              <w:pStyle w:val="Sansinterlign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Valorisations : </w:t>
            </w:r>
          </w:p>
          <w:p w14:paraId="4A9E9D4A" w14:textId="77777777" w:rsidR="003871E6" w:rsidRDefault="003871E6" w:rsidP="003871E6">
            <w:pPr>
              <w:pStyle w:val="Sansinterligne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et conclusion présentes.</w:t>
            </w:r>
          </w:p>
          <w:p w14:paraId="4204EC29" w14:textId="77777777" w:rsidR="003871E6" w:rsidRPr="003871E6" w:rsidRDefault="003871E6" w:rsidP="003871E6">
            <w:pPr>
              <w:pStyle w:val="Sansinterligne"/>
              <w:numPr>
                <w:ilvl w:val="0"/>
                <w:numId w:val="2"/>
              </w:numPr>
              <w:jc w:val="both"/>
              <w:rPr>
                <w:b/>
                <w:i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Présence d’au moins deux paragraphes</w:t>
            </w:r>
            <w:r w:rsidR="00BA7D3F">
              <w:rPr>
                <w:sz w:val="18"/>
                <w:szCs w:val="18"/>
              </w:rPr>
              <w:t>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4B749" w14:textId="77777777" w:rsidR="003871E6" w:rsidRDefault="003871E6" w:rsidP="006017DA">
            <w:pPr>
              <w:pStyle w:val="Sansinterligne"/>
              <w:snapToGrid w:val="0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855EB" w14:textId="77777777" w:rsidR="003871E6" w:rsidRDefault="003871E6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EF84" w14:textId="77777777" w:rsidR="003871E6" w:rsidRDefault="003871E6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557F2" w14:textId="77777777" w:rsidR="003871E6" w:rsidRDefault="003871E6" w:rsidP="006017DA">
            <w:pPr>
              <w:pStyle w:val="Sansinterligne"/>
              <w:snapToGrid w:val="0"/>
              <w:jc w:val="center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B336" w14:textId="77777777" w:rsidR="003871E6" w:rsidRDefault="003871E6" w:rsidP="006017DA">
            <w:pPr>
              <w:pStyle w:val="Sansinterligne"/>
              <w:snapToGrid w:val="0"/>
              <w:jc w:val="right"/>
              <w:rPr>
                <w:b/>
                <w:sz w:val="20"/>
                <w:szCs w:val="18"/>
              </w:rPr>
            </w:pPr>
          </w:p>
        </w:tc>
      </w:tr>
    </w:tbl>
    <w:p w14:paraId="23F76AAB" w14:textId="77777777" w:rsidR="006F1262" w:rsidRDefault="006F1262" w:rsidP="003E782D">
      <w:bookmarkStart w:id="1" w:name="_GoBack"/>
      <w:bookmarkEnd w:id="0"/>
      <w:bookmarkEnd w:id="1"/>
    </w:p>
    <w:sectPr w:rsidR="006F1262" w:rsidSect="003E782D">
      <w:pgSz w:w="11906" w:h="16838"/>
      <w:pgMar w:top="567" w:right="567" w:bottom="568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E802" w14:textId="77777777" w:rsidR="00A10AD3" w:rsidRDefault="00FC1CD3">
      <w:pPr>
        <w:spacing w:after="0" w:line="240" w:lineRule="auto"/>
      </w:pPr>
      <w:r>
        <w:separator/>
      </w:r>
    </w:p>
  </w:endnote>
  <w:endnote w:type="continuationSeparator" w:id="0">
    <w:p w14:paraId="1D1271A0" w14:textId="77777777" w:rsidR="00A10AD3" w:rsidRDefault="00FC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705E" w14:textId="77777777" w:rsidR="00A10AD3" w:rsidRDefault="00FC1CD3">
      <w:pPr>
        <w:spacing w:after="0" w:line="240" w:lineRule="auto"/>
      </w:pPr>
      <w:r>
        <w:separator/>
      </w:r>
    </w:p>
  </w:footnote>
  <w:footnote w:type="continuationSeparator" w:id="0">
    <w:p w14:paraId="7742649A" w14:textId="77777777" w:rsidR="00A10AD3" w:rsidRDefault="00FC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1" w15:restartNumberingAfterBreak="0">
    <w:nsid w:val="15C423A1"/>
    <w:multiLevelType w:val="hybridMultilevel"/>
    <w:tmpl w:val="914ED18E"/>
    <w:lvl w:ilvl="0" w:tplc="00000004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699"/>
    <w:rsid w:val="00184862"/>
    <w:rsid w:val="003871E6"/>
    <w:rsid w:val="003E782D"/>
    <w:rsid w:val="006F1262"/>
    <w:rsid w:val="007A4FB6"/>
    <w:rsid w:val="00A10AD3"/>
    <w:rsid w:val="00A16699"/>
    <w:rsid w:val="00BA7D3F"/>
    <w:rsid w:val="00C1484E"/>
    <w:rsid w:val="00C4783E"/>
    <w:rsid w:val="00C803A2"/>
    <w:rsid w:val="00D76045"/>
    <w:rsid w:val="00F17976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268C"/>
  <w15:docId w15:val="{A0486107-1C4F-4AF4-B612-0C90D1E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99"/>
    <w:pPr>
      <w:suppressAutoHyphens/>
    </w:pPr>
    <w:rPr>
      <w:rFonts w:ascii="Calibri" w:eastAsia="Calibri" w:hAnsi="Calibri"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A1669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Pieddepage">
    <w:name w:val="footer"/>
    <w:basedOn w:val="Normal"/>
    <w:link w:val="PieddepageCar"/>
    <w:rsid w:val="00A16699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16699"/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34"/>
    <w:qFormat/>
    <w:rsid w:val="00A166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26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PC</cp:lastModifiedBy>
  <cp:revision>11</cp:revision>
  <dcterms:created xsi:type="dcterms:W3CDTF">2020-03-13T09:02:00Z</dcterms:created>
  <dcterms:modified xsi:type="dcterms:W3CDTF">2020-03-28T16:11:00Z</dcterms:modified>
</cp:coreProperties>
</file>